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4165A">
      <w:pPr>
        <w:spacing w:before="91" w:line="221" w:lineRule="auto"/>
        <w:jc w:val="center"/>
        <w:rPr>
          <w:rFonts w:hint="eastAsia" w:ascii="楷体" w:hAnsi="楷体" w:eastAsia="楷体" w:cs="楷体"/>
          <w:b/>
          <w:bCs/>
          <w:spacing w:val="-5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val="en-US" w:eastAsia="zh-CN"/>
        </w:rPr>
        <w:t>浙</w:t>
      </w: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eastAsia="zh-CN"/>
        </w:rPr>
        <w:t>江水利水电学院第</w:t>
      </w: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val="en-US" w:eastAsia="zh-CN"/>
        </w:rPr>
        <w:t>十</w:t>
      </w: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eastAsia="zh-CN"/>
        </w:rPr>
        <w:t>届大学生中华经典诵读竞赛</w:t>
      </w:r>
    </w:p>
    <w:p w14:paraId="152C8EB5">
      <w:pPr>
        <w:spacing w:before="91" w:line="221" w:lineRule="auto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演讲题库（2025）</w:t>
      </w:r>
    </w:p>
    <w:p w14:paraId="32A954AA">
      <w:pPr>
        <w:pStyle w:val="2"/>
        <w:spacing w:before="225" w:line="220" w:lineRule="auto"/>
        <w:ind w:left="46"/>
      </w:pPr>
      <w:r>
        <w:rPr>
          <w:rFonts w:ascii="Times New Roman" w:hAnsi="Times New Roman" w:eastAsia="Times New Roman" w:cs="Times New Roman"/>
          <w:spacing w:val="-7"/>
        </w:rPr>
        <w:t>1.</w:t>
      </w:r>
      <w:r>
        <w:rPr>
          <w:spacing w:val="-7"/>
        </w:rPr>
        <w:t>子曰：“温故而知新，可以为师矣。</w:t>
      </w:r>
      <w:r>
        <w:rPr>
          <w:spacing w:val="-84"/>
        </w:rPr>
        <w:t xml:space="preserve"> </w:t>
      </w:r>
      <w:r>
        <w:rPr>
          <w:spacing w:val="-7"/>
        </w:rPr>
        <w:t>”（《论语</w:t>
      </w:r>
      <w:r>
        <w:rPr>
          <w:spacing w:val="-35"/>
        </w:rPr>
        <w:t xml:space="preserve"> </w:t>
      </w:r>
      <w:r>
        <w:rPr>
          <w:spacing w:val="-7"/>
        </w:rPr>
        <w:t>·为政》）</w:t>
      </w:r>
    </w:p>
    <w:p w14:paraId="76923216">
      <w:pPr>
        <w:pStyle w:val="2"/>
        <w:spacing w:before="226" w:line="220" w:lineRule="auto"/>
        <w:ind w:left="20"/>
      </w:pP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spacing w:val="-4"/>
        </w:rPr>
        <w:t>大学之道，在明明德，在亲民，在止于至善。（《礼记</w:t>
      </w:r>
      <w:r>
        <w:rPr>
          <w:spacing w:val="-24"/>
        </w:rPr>
        <w:t xml:space="preserve"> </w:t>
      </w:r>
      <w:r>
        <w:rPr>
          <w:spacing w:val="-4"/>
        </w:rPr>
        <w:t>·大学》）</w:t>
      </w:r>
      <w:bookmarkStart w:id="0" w:name="_GoBack"/>
      <w:bookmarkEnd w:id="0"/>
    </w:p>
    <w:p w14:paraId="13EBAEB2">
      <w:pPr>
        <w:pStyle w:val="2"/>
        <w:spacing w:before="226" w:line="219" w:lineRule="auto"/>
        <w:ind w:left="25"/>
      </w:pPr>
      <w:r>
        <w:rPr>
          <w:rFonts w:ascii="Times New Roman" w:hAnsi="Times New Roman" w:eastAsia="Times New Roman" w:cs="Times New Roman"/>
          <w:spacing w:val="-4"/>
        </w:rPr>
        <w:t>3.</w:t>
      </w:r>
      <w:r>
        <w:rPr>
          <w:spacing w:val="-4"/>
        </w:rPr>
        <w:t>人谁无过？过而能改，善莫大焉。（《左传</w:t>
      </w:r>
      <w:r>
        <w:rPr>
          <w:spacing w:val="-33"/>
        </w:rPr>
        <w:t xml:space="preserve"> </w:t>
      </w:r>
      <w:r>
        <w:rPr>
          <w:spacing w:val="-5"/>
        </w:rPr>
        <w:t>·宣公二年》）</w:t>
      </w:r>
    </w:p>
    <w:p w14:paraId="41801E80">
      <w:pPr>
        <w:pStyle w:val="2"/>
        <w:spacing w:before="229" w:line="220" w:lineRule="auto"/>
        <w:ind w:left="18"/>
      </w:pPr>
      <w:r>
        <w:rPr>
          <w:rFonts w:ascii="Times New Roman" w:hAnsi="Times New Roman" w:eastAsia="Times New Roman" w:cs="Times New Roman"/>
          <w:spacing w:val="-5"/>
        </w:rPr>
        <w:t>4.</w:t>
      </w:r>
      <w:r>
        <w:rPr>
          <w:spacing w:val="-5"/>
        </w:rPr>
        <w:t>得道者多助，失道者寡助。（《孟子</w:t>
      </w:r>
      <w:r>
        <w:rPr>
          <w:spacing w:val="-20"/>
        </w:rPr>
        <w:t xml:space="preserve"> </w:t>
      </w:r>
      <w:r>
        <w:rPr>
          <w:spacing w:val="-5"/>
        </w:rPr>
        <w:t>·公孙丑下》）</w:t>
      </w:r>
    </w:p>
    <w:p w14:paraId="07B404C5">
      <w:pPr>
        <w:pStyle w:val="2"/>
        <w:spacing w:before="226" w:line="219" w:lineRule="auto"/>
        <w:ind w:left="27"/>
      </w:pPr>
      <w:r>
        <w:rPr>
          <w:rFonts w:ascii="Times New Roman" w:hAnsi="Times New Roman" w:eastAsia="Times New Roman" w:cs="Times New Roman"/>
          <w:spacing w:val="-6"/>
        </w:rPr>
        <w:t>5.</w:t>
      </w:r>
      <w:r>
        <w:rPr>
          <w:spacing w:val="-6"/>
        </w:rPr>
        <w:t>君子之交淡如水，小人之交甘若醴。（《庄子</w:t>
      </w:r>
      <w:r>
        <w:rPr>
          <w:spacing w:val="-28"/>
        </w:rPr>
        <w:t xml:space="preserve"> </w:t>
      </w:r>
      <w:r>
        <w:rPr>
          <w:spacing w:val="-6"/>
        </w:rPr>
        <w:t>·</w:t>
      </w:r>
      <w:r>
        <w:rPr>
          <w:spacing w:val="-107"/>
        </w:rPr>
        <w:t xml:space="preserve"> </w:t>
      </w:r>
      <w:r>
        <w:rPr>
          <w:spacing w:val="-6"/>
        </w:rPr>
        <w:t>山木》）</w:t>
      </w:r>
    </w:p>
    <w:p w14:paraId="1BDF3025">
      <w:pPr>
        <w:pStyle w:val="2"/>
        <w:spacing w:before="227" w:line="219" w:lineRule="auto"/>
        <w:ind w:left="26"/>
      </w:pPr>
      <w:r>
        <w:rPr>
          <w:rFonts w:ascii="Times New Roman" w:hAnsi="Times New Roman" w:eastAsia="Times New Roman" w:cs="Times New Roman"/>
          <w:spacing w:val="-4"/>
        </w:rPr>
        <w:t>6.</w:t>
      </w:r>
      <w:r>
        <w:rPr>
          <w:spacing w:val="-4"/>
        </w:rPr>
        <w:t>与人善言，暖于布帛；伤人以言，深于矛戟。（《荀子</w:t>
      </w:r>
      <w:r>
        <w:rPr>
          <w:spacing w:val="-30"/>
        </w:rPr>
        <w:t xml:space="preserve"> </w:t>
      </w:r>
      <w:r>
        <w:rPr>
          <w:spacing w:val="-4"/>
        </w:rPr>
        <w:t>·荣辱》）</w:t>
      </w:r>
    </w:p>
    <w:p w14:paraId="09BB286B">
      <w:pPr>
        <w:pStyle w:val="2"/>
        <w:spacing w:before="229" w:line="219" w:lineRule="auto"/>
        <w:jc w:val="right"/>
      </w:pPr>
      <w:r>
        <w:rPr>
          <w:rFonts w:ascii="Times New Roman" w:hAnsi="Times New Roman" w:eastAsia="Times New Roman" w:cs="Times New Roman"/>
          <w:spacing w:val="-9"/>
        </w:rPr>
        <w:t>7.</w:t>
      </w:r>
      <w:r>
        <w:rPr>
          <w:spacing w:val="-9"/>
        </w:rPr>
        <w:t>仓廪实而知礼节，衣食足而知荣辱。（司</w:t>
      </w:r>
      <w:r>
        <w:rPr>
          <w:spacing w:val="-10"/>
        </w:rPr>
        <w:t>马迁《史记</w:t>
      </w:r>
      <w:r>
        <w:rPr>
          <w:spacing w:val="-35"/>
        </w:rPr>
        <w:t xml:space="preserve"> </w:t>
      </w:r>
      <w:r>
        <w:rPr>
          <w:spacing w:val="-10"/>
        </w:rPr>
        <w:t>·管晏列传》）</w:t>
      </w:r>
    </w:p>
    <w:p w14:paraId="154CFC92">
      <w:pPr>
        <w:pStyle w:val="2"/>
        <w:spacing w:before="227" w:line="221" w:lineRule="auto"/>
        <w:ind w:left="31"/>
      </w:pPr>
      <w:r>
        <w:rPr>
          <w:rFonts w:ascii="Times New Roman" w:hAnsi="Times New Roman" w:eastAsia="Times New Roman" w:cs="Times New Roman"/>
          <w:spacing w:val="-1"/>
        </w:rPr>
        <w:t>8.</w:t>
      </w:r>
      <w:r>
        <w:rPr>
          <w:spacing w:val="-1"/>
        </w:rPr>
        <w:t>勿以恶小而为之，勿以善小而不为。（刘备《遗诏敕后主》）</w:t>
      </w:r>
    </w:p>
    <w:p w14:paraId="7CF6B2F9">
      <w:pPr>
        <w:pStyle w:val="2"/>
        <w:spacing w:before="224" w:line="220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>9.</w:t>
      </w:r>
      <w:r>
        <w:rPr>
          <w:spacing w:val="-1"/>
        </w:rPr>
        <w:t>结庐在人境，而无车马喧。问君何能尔？心远地自偏。</w:t>
      </w:r>
    </w:p>
    <w:p w14:paraId="69793F76">
      <w:pPr>
        <w:pStyle w:val="2"/>
        <w:spacing w:before="228" w:line="220" w:lineRule="auto"/>
        <w:ind w:left="4792"/>
      </w:pPr>
      <w:r>
        <w:rPr>
          <w:spacing w:val="-11"/>
        </w:rPr>
        <w:t>（陶渊明《饮酒</w:t>
      </w:r>
      <w:r>
        <w:rPr>
          <w:spacing w:val="-27"/>
        </w:rPr>
        <w:t xml:space="preserve"> </w:t>
      </w:r>
      <w:r>
        <w:rPr>
          <w:spacing w:val="-11"/>
        </w:rPr>
        <w:t>·其五》）</w:t>
      </w:r>
    </w:p>
    <w:p w14:paraId="6DBBDDBB">
      <w:pPr>
        <w:pStyle w:val="2"/>
        <w:spacing w:before="226" w:line="219" w:lineRule="auto"/>
        <w:ind w:left="46"/>
      </w:pPr>
      <w:r>
        <w:rPr>
          <w:rFonts w:ascii="Times New Roman" w:hAnsi="Times New Roman" w:eastAsia="Times New Roman" w:cs="Times New Roman"/>
          <w:spacing w:val="-2"/>
        </w:rPr>
        <w:t>10.</w:t>
      </w:r>
      <w:r>
        <w:rPr>
          <w:spacing w:val="-2"/>
        </w:rPr>
        <w:t>读书不觉已春深，一寸光阴一寸金。</w:t>
      </w:r>
    </w:p>
    <w:p w14:paraId="687C49DF">
      <w:pPr>
        <w:pStyle w:val="2"/>
        <w:spacing w:before="226" w:line="221" w:lineRule="auto"/>
        <w:ind w:left="3952"/>
      </w:pPr>
      <w:r>
        <w:rPr>
          <w:spacing w:val="-9"/>
        </w:rPr>
        <w:t>（王贞白《白鹿洞二首</w:t>
      </w:r>
      <w:r>
        <w:rPr>
          <w:spacing w:val="-24"/>
        </w:rPr>
        <w:t xml:space="preserve"> </w:t>
      </w:r>
      <w:r>
        <w:rPr>
          <w:spacing w:val="-9"/>
        </w:rPr>
        <w:t>·其一》）</w:t>
      </w:r>
    </w:p>
    <w:p w14:paraId="083649F4">
      <w:pPr>
        <w:pStyle w:val="2"/>
        <w:spacing w:before="227" w:line="220" w:lineRule="auto"/>
        <w:jc w:val="right"/>
      </w:pPr>
      <w:r>
        <w:rPr>
          <w:rFonts w:ascii="Times New Roman" w:hAnsi="Times New Roman" w:eastAsia="Times New Roman" w:cs="Times New Roman"/>
          <w:spacing w:val="-3"/>
        </w:rPr>
        <w:t>11.</w:t>
      </w:r>
      <w:r>
        <w:rPr>
          <w:spacing w:val="-3"/>
        </w:rPr>
        <w:t>予独爱莲之出淤泥而不染，濯清涟而不妖。（周敦颐《爱莲说》）</w:t>
      </w:r>
    </w:p>
    <w:p w14:paraId="7DF6EADD">
      <w:pPr>
        <w:pStyle w:val="2"/>
        <w:spacing w:before="226" w:line="220" w:lineRule="auto"/>
        <w:ind w:left="46"/>
      </w:pPr>
      <w:r>
        <w:rPr>
          <w:rFonts w:ascii="Times New Roman" w:hAnsi="Times New Roman" w:eastAsia="Times New Roman" w:cs="Times New Roman"/>
          <w:spacing w:val="-1"/>
        </w:rPr>
        <w:t>12.</w:t>
      </w:r>
      <w:r>
        <w:rPr>
          <w:spacing w:val="-1"/>
        </w:rPr>
        <w:t>先天下之忧而忧，后天下之乐而乐。（范仲淹《岳阳楼</w:t>
      </w:r>
      <w:r>
        <w:rPr>
          <w:spacing w:val="-2"/>
        </w:rPr>
        <w:t>记》）</w:t>
      </w:r>
    </w:p>
    <w:p w14:paraId="06DEC1B6">
      <w:pPr>
        <w:pStyle w:val="2"/>
        <w:spacing w:before="226" w:line="219" w:lineRule="auto"/>
        <w:ind w:left="46"/>
      </w:pPr>
      <w:r>
        <w:rPr>
          <w:rFonts w:ascii="Times New Roman" w:hAnsi="Times New Roman" w:eastAsia="Times New Roman" w:cs="Times New Roman"/>
          <w:spacing w:val="-1"/>
        </w:rPr>
        <w:t>13.</w:t>
      </w:r>
      <w:r>
        <w:rPr>
          <w:spacing w:val="-1"/>
        </w:rPr>
        <w:t>古之立大事者，不惟有超世之才，亦必有坚</w:t>
      </w:r>
      <w:r>
        <w:rPr>
          <w:spacing w:val="-2"/>
        </w:rPr>
        <w:t>忍不拔之志。</w:t>
      </w:r>
    </w:p>
    <w:p w14:paraId="241DF840">
      <w:pPr>
        <w:pStyle w:val="2"/>
        <w:spacing w:before="228" w:line="221" w:lineRule="auto"/>
        <w:ind w:left="5632"/>
      </w:pPr>
      <w:r>
        <w:rPr>
          <w:spacing w:val="-3"/>
        </w:rPr>
        <w:t>（苏轼《晁错论》）</w:t>
      </w:r>
    </w:p>
    <w:p w14:paraId="6480257A">
      <w:pPr>
        <w:pStyle w:val="2"/>
        <w:spacing w:before="225" w:line="219" w:lineRule="auto"/>
        <w:ind w:left="46"/>
      </w:pPr>
      <w:r>
        <w:rPr>
          <w:rFonts w:ascii="Times New Roman" w:hAnsi="Times New Roman" w:eastAsia="Times New Roman" w:cs="Times New Roman"/>
          <w:spacing w:val="-3"/>
        </w:rPr>
        <w:t>14.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国家不可一日无青年，青年不可一日无觉</w:t>
      </w:r>
      <w:r>
        <w:rPr>
          <w:spacing w:val="-4"/>
        </w:rPr>
        <w:t>醒。</w:t>
      </w:r>
    </w:p>
    <w:p w14:paraId="504B9109">
      <w:pPr>
        <w:pStyle w:val="2"/>
        <w:spacing w:before="227" w:line="220" w:lineRule="auto"/>
        <w:ind w:right="25"/>
        <w:jc w:val="right"/>
      </w:pPr>
      <w:r>
        <w:rPr>
          <w:spacing w:val="-2"/>
        </w:rPr>
        <w:t>（李大钊《〈晨钟〉之使命》）</w:t>
      </w:r>
    </w:p>
    <w:p w14:paraId="2F912CC9">
      <w:pPr>
        <w:pStyle w:val="2"/>
        <w:spacing w:before="229" w:line="370" w:lineRule="auto"/>
        <w:ind w:left="40" w:right="120" w:firstLine="6"/>
      </w:pPr>
      <w:r>
        <w:rPr>
          <w:rFonts w:ascii="Times New Roman" w:hAnsi="Times New Roman" w:eastAsia="Times New Roman" w:cs="Times New Roman"/>
          <w:spacing w:val="3"/>
        </w:rPr>
        <w:t>15.</w:t>
      </w:r>
      <w:r>
        <w:rPr>
          <w:spacing w:val="3"/>
        </w:rPr>
        <w:t>读书加惠于人们的不仅是知识的增广，</w:t>
      </w:r>
      <w:r>
        <w:rPr>
          <w:spacing w:val="2"/>
        </w:rPr>
        <w:t>而且还在于精神的感化与</w:t>
      </w:r>
      <w:r>
        <w:rPr>
          <w:spacing w:val="-1"/>
        </w:rPr>
        <w:t>陶冶。                           （谢冕《读书人是幸福人》）</w:t>
      </w:r>
    </w:p>
    <w:sectPr>
      <w:headerReference r:id="rId5" w:type="default"/>
      <w:footerReference r:id="rId6" w:type="default"/>
      <w:pgSz w:w="11906" w:h="16839"/>
      <w:pgMar w:top="1329" w:right="1679" w:bottom="1362" w:left="1785" w:header="829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ED347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FDF8E">
    <w:pPr>
      <w:pStyle w:val="2"/>
      <w:spacing w:before="48" w:line="219" w:lineRule="auto"/>
      <w:ind w:left="125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36758C"/>
    <w:rsid w:val="75B90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509</Words>
  <Characters>533</Characters>
  <TotalTime>1</TotalTime>
  <ScaleCrop>false</ScaleCrop>
  <LinksUpToDate>false</LinksUpToDate>
  <CharactersWithSpaces>573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2025-04-30T22:24:00Z</dcterms:created>
  <dc:creator>clj</dc:creator>
  <cp:lastModifiedBy>Georgewell</cp:lastModifiedBy>
  <dcterms:modified xsi:type="dcterms:W3CDTF">2025-10-29T01:42:19Z</dcterms:modified>
  <dc:title>经典诵读竞赛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2025-10-29T09:30:08Z</vt:filetime>
  </property>
  <property fmtid="{D5CDD505-2E9C-101B-9397-08002B2CF9AE}" pid="4" name="KSOProductBuildVer">
    <vt:lpwstr>2052-12.1.0.23125</vt:lpwstr>
  </property>
  <property fmtid="{D5CDD505-2E9C-101B-9397-08002B2CF9AE}" pid="5" name="ICV">
    <vt:lpwstr>9097DC74E880438F8052C52C62E3DDEE_13</vt:lpwstr>
  </property>
  <property fmtid="{D5CDD505-2E9C-101B-9397-08002B2CF9AE}" pid="6" name="KSOTemplateDocerSaveRecord">
    <vt:lpwstr>eyJoZGlkIjoiMDhlZDU3NGM3ZjFjMDRlOTdjMmM2M2FiMWFlNGU5ODciLCJ1c2VySWQiOiI2MDA4NjYyODUifQ==</vt:lpwstr>
  </property>
</Properties>
</file>